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E0B11" w:rsidRPr="000F0B28" w:rsidTr="007467AB">
        <w:tc>
          <w:tcPr>
            <w:tcW w:w="9962" w:type="dxa"/>
            <w:shd w:val="clear" w:color="auto" w:fill="auto"/>
          </w:tcPr>
          <w:p w:rsidR="007E0B11" w:rsidRPr="00056DF0" w:rsidRDefault="00D64E34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FE7CE6">
              <w:rPr>
                <w:rFonts w:ascii="Arial" w:hAnsi="Arial" w:cs="Arial"/>
                <w:sz w:val="22"/>
                <w:szCs w:val="22"/>
                <w:lang w:val="sr-Cyrl-RS"/>
              </w:rPr>
              <w:t>6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D64E34" w:rsidRPr="0010504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коначни подаци</w:t>
            </w:r>
            <w:r w:rsidR="00D64E3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201</w:t>
            </w:r>
            <w:r w:rsidR="00C3300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9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:rsidR="0008419C" w:rsidRPr="00056DF0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5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856C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дец</w:t>
            </w:r>
            <w:r w:rsidR="00AB04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ем</w:t>
            </w:r>
            <w:r w:rsidR="00376B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201</w:t>
            </w:r>
            <w:r w:rsidR="00C330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9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40D7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</w:t>
            </w:r>
            <w:r w:rsidR="00672EF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636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AF15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</w:t>
            </w:r>
            <w:r w:rsidR="00E93E2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672E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72E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414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9C574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п</w:t>
            </w:r>
            <w:r w:rsidR="00BB598E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672E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672E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D4535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17702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96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33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,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D453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D65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1770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6730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3F039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A25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D4535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17702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753</w:t>
            </w:r>
            <w:r w:rsidR="000A456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1770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D383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FF4582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DF0F9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поређењу са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исти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940D7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17702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3875</w:t>
            </w:r>
            <w:r w:rsidR="003D383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A456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A75FAB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770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177028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7</w:t>
            </w:r>
            <w:r w:rsidR="000A4563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097</w:t>
            </w:r>
            <w:r w:rsidRPr="00B83C5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177028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5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FD532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повећа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17702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6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0A4563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177028">
              <w:rPr>
                <w:rFonts w:ascii="Arial" w:hAnsi="Arial" w:cs="Arial"/>
                <w:bCs/>
                <w:sz w:val="18"/>
                <w:szCs w:val="18"/>
                <w:lang w:val="ru-RU"/>
              </w:rPr>
              <w:t>63</w:t>
            </w:r>
            <w:r w:rsidR="000A4563">
              <w:rPr>
                <w:rFonts w:ascii="Arial" w:hAnsi="Arial" w:cs="Arial"/>
                <w:bCs/>
                <w:sz w:val="18"/>
                <w:szCs w:val="18"/>
                <w:lang w:val="ru-RU"/>
              </w:rPr>
              <w:t>38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,</w:t>
            </w:r>
            <w:r w:rsidR="000A4563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9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FD5322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повећа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17702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12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177028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123E8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65579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65579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мања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пр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етходн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A454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65579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5579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172F35" w:rsidRPr="004A1B5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B51BDF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51BDF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FF5515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FF5515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Шумадије и Западне Србије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(2</w:t>
            </w:r>
            <w:r w:rsidR="00AB408B" w:rsidRPr="004A1B5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51BDF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="006E18DB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(1</w:t>
            </w:r>
            <w:r w:rsidR="00752688" w:rsidRPr="004A1B5F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6E18DB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773FF8" w:rsidRPr="004A1B5F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6E18D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D7522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1407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B51BDF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51BDF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A52D8C" w:rsidRPr="004A1B5F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FB056B" w:rsidRPr="004A1B5F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51BDF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A52D8C" w:rsidRPr="004A1B5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51BD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A52D8C" w:rsidRPr="004A1B5F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51BDF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4C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773FF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03DEA">
              <w:rPr>
                <w:rFonts w:ascii="Arial" w:hAnsi="Arial" w:cs="Arial"/>
                <w:sz w:val="18"/>
                <w:szCs w:val="18"/>
                <w:lang w:val="ru-RU"/>
              </w:rPr>
              <w:t>59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C69C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CC69C5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0F038F">
              <w:rPr>
                <w:rFonts w:ascii="Arial" w:hAnsi="Arial" w:cs="Arial"/>
                <w:sz w:val="18"/>
                <w:szCs w:val="18"/>
                <w:lang w:val="sr-Cyrl-RS"/>
              </w:rPr>
              <w:t>159</w:t>
            </w:r>
            <w:r w:rsidR="006512EF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512EF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103DEA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964A7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CC69C5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0F038F">
              <w:rPr>
                <w:rFonts w:ascii="Arial" w:hAnsi="Arial" w:cs="Arial"/>
                <w:sz w:val="18"/>
                <w:szCs w:val="18"/>
                <w:lang w:val="sr-Cyrl-RS"/>
              </w:rPr>
              <w:t>755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512EF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6747" w:rsidRPr="00AF13DB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AD5F25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C69C5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CC69C5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0F038F">
              <w:rPr>
                <w:rFonts w:ascii="Arial" w:hAnsi="Arial" w:cs="Arial"/>
                <w:sz w:val="18"/>
                <w:szCs w:val="18"/>
                <w:lang w:val="sr-Cyrl-RS"/>
              </w:rPr>
              <w:t>281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F038F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8446C" w:rsidRPr="00AF13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CC69C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9395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48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BA5DC3">
              <w:rPr>
                <w:rFonts w:ascii="Arial" w:hAnsi="Arial" w:cs="Arial"/>
                <w:bCs/>
                <w:sz w:val="18"/>
                <w:szCs w:val="18"/>
                <w:lang w:val="ru-RU"/>
              </w:rPr>
              <w:t>19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51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CC69C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802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0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716B19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0F038F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11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02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6</w:t>
            </w:r>
            <w:r w:rsidR="00687DA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687DA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8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CA28D0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7467AB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63E62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2477.5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2212.7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3448.0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3080.2</w:t>
                  </w:r>
                </w:p>
              </w:tc>
            </w:tr>
            <w:tr w:rsidR="00C63E62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Италија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Pr="00C63E62" w:rsidRDefault="00C63E62" w:rsidP="00C63E6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1982.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1769.6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Руска Федерација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2583.9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2307.0</w:t>
                  </w:r>
                </w:p>
              </w:tc>
            </w:tr>
            <w:tr w:rsidR="00C63E62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Босна и Херцеговина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Pr="00C63E62" w:rsidRDefault="00C63E62" w:rsidP="00C63E6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1352.3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Кина   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2507.7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2241.1</w:t>
                  </w:r>
                </w:p>
              </w:tc>
            </w:tr>
            <w:tr w:rsidR="00C63E62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Румунија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Pr="00C63E62" w:rsidRDefault="00C63E62" w:rsidP="00C63E6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1149.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1026.5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Италија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2322.6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2074.7</w:t>
                  </w:r>
                </w:p>
              </w:tc>
            </w:tr>
            <w:tr w:rsidR="00C63E62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Руска Федерација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977.2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872.5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Мађарска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1142.1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E62" w:rsidRDefault="00C63E62" w:rsidP="00C63E6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1019.4</w:t>
                  </w:r>
                </w:p>
              </w:tc>
            </w:tr>
          </w:tbl>
          <w:p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571F45" w:rsidRPr="008C22CF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B96B4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2</w:t>
            </w:r>
            <w:r w:rsidR="004D2B1D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25</w:t>
            </w:r>
            <w:r w:rsidR="009B441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8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9B441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мил. долара, који је резултат углавном извоза пољопривредних производа (житарице и производи од њих), </w:t>
            </w:r>
            <w:r w:rsidR="00EC09BE" w:rsidRPr="008C22CF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EC09BE" w:rsidRPr="008C22CF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EC09BE" w:rsidRPr="008C22C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E01E4F" w:rsidRPr="008C22C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електричних машина и апарата, </w:t>
            </w:r>
            <w:r w:rsidR="00CA6990" w:rsidRPr="008C22CF">
              <w:rPr>
                <w:rFonts w:ascii="Arial" w:hAnsi="Arial" w:cs="Arial"/>
                <w:sz w:val="18"/>
                <w:szCs w:val="18"/>
                <w:lang w:val="ru-RU"/>
              </w:rPr>
              <w:t>друмских возила</w:t>
            </w:r>
            <w:r w:rsidR="00EC09BE" w:rsidRPr="008C22C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CB3A2A" w:rsidRPr="008C22C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 </w:t>
            </w:r>
            <w:r w:rsidR="00EC09BE" w:rsidRPr="008C22CF">
              <w:rPr>
                <w:rFonts w:ascii="Arial" w:hAnsi="Arial" w:cs="Arial"/>
                <w:sz w:val="18"/>
                <w:szCs w:val="18"/>
                <w:lang w:val="sr-Cyrl-RS"/>
              </w:rPr>
              <w:t>пића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B96B46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4D2B1D">
              <w:rPr>
                <w:rFonts w:ascii="Arial" w:hAnsi="Arial" w:cs="Arial"/>
                <w:sz w:val="18"/>
                <w:szCs w:val="18"/>
                <w:lang w:val="sr-Cyrl-RS"/>
              </w:rPr>
              <w:t>32</w:t>
            </w:r>
            <w:r w:rsidR="009B4419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B4419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4D2B1D">
              <w:rPr>
                <w:rFonts w:ascii="Arial" w:hAnsi="Arial" w:cs="Arial"/>
                <w:sz w:val="18"/>
                <w:szCs w:val="18"/>
                <w:lang w:val="sr-Cyrl-RS"/>
              </w:rPr>
              <w:t>1069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B441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D14BB8" w:rsidRPr="008C22C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BB5883" w:rsidRPr="008C22C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4D2B1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B441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8C22C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8C22C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B96B46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4D2B1D">
              <w:rPr>
                <w:rFonts w:ascii="Arial" w:hAnsi="Arial" w:cs="Arial"/>
                <w:sz w:val="18"/>
                <w:szCs w:val="18"/>
                <w:lang w:val="sr-Cyrl-RS"/>
              </w:rPr>
              <w:t>97</w:t>
            </w:r>
            <w:r w:rsidR="009B441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B4419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C22C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4D2B1D">
              <w:rPr>
                <w:rFonts w:ascii="Arial" w:hAnsi="Arial" w:cs="Arial"/>
                <w:sz w:val="18"/>
                <w:szCs w:val="18"/>
                <w:lang w:val="sr-Cyrl-RS"/>
              </w:rPr>
              <w:t>955</w:t>
            </w:r>
            <w:r w:rsidR="00EF77D8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4D2B1D">
              <w:rPr>
                <w:rFonts w:ascii="Arial" w:eastAsia="Calibri" w:hAnsi="Arial" w:cs="Arial"/>
                <w:sz w:val="18"/>
                <w:szCs w:val="18"/>
                <w:lang w:val="sr-Cyrl-RS"/>
              </w:rPr>
              <w:t>4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4D2B1D">
              <w:rPr>
                <w:rFonts w:ascii="Arial" w:eastAsia="Calibri" w:hAnsi="Arial" w:cs="Arial"/>
                <w:sz w:val="18"/>
                <w:szCs w:val="18"/>
                <w:lang w:val="sr-Cyrl-RS"/>
              </w:rPr>
              <w:t>201</w:t>
            </w:r>
            <w:r w:rsidR="009B4419">
              <w:rPr>
                <w:rFonts w:ascii="Arial" w:eastAsia="Calibri" w:hAnsi="Arial" w:cs="Arial"/>
                <w:sz w:val="18"/>
                <w:szCs w:val="18"/>
                <w:lang w:val="sr-Cyrl-RS"/>
              </w:rPr>
              <w:t>7</w:t>
            </w:r>
            <w:r w:rsidR="00A97930" w:rsidRPr="008C22C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9B4419">
              <w:rPr>
                <w:rFonts w:ascii="Arial" w:eastAsia="Calibri" w:hAnsi="Arial" w:cs="Arial"/>
                <w:sz w:val="18"/>
                <w:szCs w:val="18"/>
                <w:lang w:val="sr-Cyrl-RS"/>
              </w:rPr>
              <w:t>5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14BB8" w:rsidRPr="008C22C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BB5883" w:rsidRPr="008C22C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9B441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88652F"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B441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88652F" w:rsidRPr="008C22CF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:rsidR="00615E5F" w:rsidRPr="009E2A16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052D13" w:rsidRPr="00F15F87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Босном и Херцеговином (извоз</w:t>
            </w:r>
            <w:r w:rsidR="00855B8E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58754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855B8E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гасна уља и </w:t>
            </w:r>
            <w:r w:rsidR="00073266">
              <w:rPr>
                <w:rFonts w:ascii="Arial" w:hAnsi="Arial" w:cs="Arial"/>
                <w:sz w:val="18"/>
                <w:szCs w:val="18"/>
                <w:lang w:val="sr-Cyrl-RS" w:eastAsia="en-GB"/>
              </w:rPr>
              <w:t>моторни бензин</w:t>
            </w:r>
            <w:r w:rsidR="0058754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увози се кокс и полукокс од каменог угља</w:t>
            </w:r>
            <w:r w:rsidR="00D4272E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жица од гвожђа и челика</w:t>
            </w:r>
            <w:r w:rsidR="0058754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180F8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180F86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лекови за малопродају и </w:t>
            </w:r>
            <w:r w:rsidR="00180F86" w:rsidRPr="00F15F87">
              <w:rPr>
                <w:rFonts w:ascii="Arial" w:hAnsi="Arial" w:cs="Arial"/>
                <w:sz w:val="18"/>
                <w:szCs w:val="18"/>
                <w:lang w:val="sr-Cyrl-RS" w:eastAsia="en-GB"/>
              </w:rPr>
              <w:t>руде олова и концентрати</w:t>
            </w:r>
            <w:r w:rsidR="00180F86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увозе се највише сирови алум</w:t>
            </w:r>
            <w:r w:rsidR="00180F8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инијум и  </w:t>
            </w:r>
            <w:r w:rsidR="0007326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вина од свежег грожђа</w:t>
            </w:r>
            <w:r w:rsidR="00180F8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4F6C00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F218C8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2F5A3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електричних проводника</w:t>
            </w:r>
            <w:r w:rsidR="00A3304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A30001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топло ваљаних производа</w:t>
            </w:r>
            <w:r w:rsidR="00A3304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F467E6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A3304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2F5A3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лекови за малопродају</w:t>
            </w:r>
            <w:r w:rsidR="00A30001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C67B4A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заварене цеви од гвожђа и челика</w:t>
            </w:r>
            <w:r w:rsidR="00BC3D1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D34B82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Словачком, </w:t>
            </w:r>
            <w:r w:rsidR="00CC43CC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</w:t>
            </w:r>
            <w:r w:rsidR="00CC43CC" w:rsidRPr="00F15F87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CC43CC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C9419A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Великом Британијом</w:t>
            </w:r>
            <w:r w:rsidR="005D4DF6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686EEB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Хрватском</w:t>
            </w:r>
            <w:r w:rsidR="005D4DF6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9F74C8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Шведском</w:t>
            </w:r>
            <w:r w:rsidR="00853A9C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853A9C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Словенијом</w:t>
            </w:r>
            <w:r w:rsidR="00EF534A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96221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Руском Федерацијом</w:t>
            </w:r>
            <w:r w:rsidR="00783E83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F15F87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962215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D34B82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Немачком, Турском, </w:t>
            </w:r>
            <w:r w:rsidR="003E360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Ираком, </w:t>
            </w:r>
            <w:r w:rsidR="006B604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Пољском (увоз делова за моторна возила)</w:t>
            </w:r>
            <w:r w:rsidR="006B6044" w:rsidRPr="00F15F87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,</w:t>
            </w:r>
            <w:r w:rsidR="001D1018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853A9C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Италијом,</w:t>
            </w:r>
            <w:r w:rsidR="00853A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1D1018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Мађарском,</w:t>
            </w:r>
            <w:r w:rsidR="001D1018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182AD9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Белгијом</w:t>
            </w:r>
            <w:r w:rsidR="00182AD9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182A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962215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Француском,</w:t>
            </w:r>
            <w:r w:rsidR="004E4B40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1D1018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САД-ом, </w:t>
            </w:r>
            <w:r w:rsidR="001110D1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Украјином</w:t>
            </w:r>
            <w:r w:rsidR="00E13F17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853A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Вијетнамом</w:t>
            </w:r>
            <w:r w:rsidR="00B362B0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D34B82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Швајцарском</w:t>
            </w:r>
            <w:r w:rsidR="0090309B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3C2857" w:rsidRPr="00F15F8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Шпанијом, </w:t>
            </w:r>
            <w:r w:rsidR="0090309B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Данском</w:t>
            </w:r>
            <w:r w:rsidR="005D4DF6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D34B82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  <w:r w:rsidR="000A3844" w:rsidRPr="00F15F8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</w:p>
          <w:p w:rsidR="00B6304B" w:rsidRPr="00F15F87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B6304B" w:rsidRPr="0082197E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21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82197E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553AD8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53AD8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% укупног извоза. Увоз првих пет одсека чини 2</w:t>
            </w:r>
            <w:r w:rsidR="0082197E" w:rsidRPr="0082197E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36598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82197E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8219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7E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C36598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36598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2197E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764"/>
              <w:gridCol w:w="973"/>
              <w:gridCol w:w="972"/>
              <w:gridCol w:w="2906"/>
              <w:gridCol w:w="972"/>
              <w:gridCol w:w="933"/>
            </w:tblGrid>
            <w:tr w:rsidR="007467AB" w:rsidRPr="005D04B3" w:rsidTr="008125CF">
              <w:trPr>
                <w:trHeight w:val="31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121568" w:rsidRPr="005D04B3" w:rsidTr="00121568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60748" w:rsidRPr="005D04B3" w:rsidTr="00121568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2310.6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2064.0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 и нафтни деривати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1772.4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1583.9</w:t>
                  </w:r>
                </w:p>
              </w:tc>
            </w:tr>
            <w:tr w:rsidR="00260748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 возила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849.0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1611.6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1439.7</w:t>
                  </w:r>
                </w:p>
              </w:tc>
            </w:tr>
            <w:tr w:rsidR="00260748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 машине и уређаји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832.3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 возила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1547.8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1382.4</w:t>
                  </w:r>
                </w:p>
              </w:tc>
            </w:tr>
            <w:tr w:rsidR="00260748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 од каучука, нн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927.9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828.6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Гвожђе и челик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1076.2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962.2</w:t>
                  </w:r>
                </w:p>
              </w:tc>
            </w:tr>
            <w:tr w:rsidR="00260748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Гвожђе и челик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925.3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825.9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748" w:rsidRDefault="00260748" w:rsidP="002607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 машине за општу употребу,нн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1014.2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0748" w:rsidRDefault="00260748" w:rsidP="00260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906.4</w:t>
                  </w:r>
                </w:p>
              </w:tc>
            </w:tr>
            <w:tr w:rsidR="00121568" w:rsidRPr="005D04B3" w:rsidTr="003C2857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211217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:rsidR="00D64E34" w:rsidRPr="00FF5515" w:rsidRDefault="00D64E3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  <w:p w:rsidR="00CB5A51" w:rsidRPr="00625B3F" w:rsidRDefault="00FA6D85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2D" w:rsidRDefault="007A7D2D">
      <w:r>
        <w:separator/>
      </w:r>
    </w:p>
  </w:endnote>
  <w:endnote w:type="continuationSeparator" w:id="0">
    <w:p w:rsidR="007A7D2D" w:rsidRDefault="007A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056DF0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:rsidTr="00056DF0">
            <w:tc>
              <w:tcPr>
                <w:tcW w:w="5868" w:type="dxa"/>
                <w:shd w:val="clear" w:color="auto" w:fill="auto"/>
              </w:tcPr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:rsidR="00CD481A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Одсек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2E13CC" w:rsidRPr="00056DF0" w:rsidRDefault="002E13CC" w:rsidP="00056DF0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</w:t>
                </w:r>
                <w:r w:rsidR="007B6752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>Д</w:t>
                </w:r>
                <w:r w:rsidRPr="00056DF0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иректор</w:t>
                </w:r>
                <w:r w:rsidR="007B6752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</w:t>
                </w:r>
              </w:p>
              <w:p w:rsidR="002E13CC" w:rsidRPr="00056DF0" w:rsidRDefault="002E13CC" w:rsidP="00056DF0">
                <w:pPr>
                  <w:ind w:left="972"/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    Др Миладин Ковачевић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2D" w:rsidRDefault="007A7D2D">
      <w:r>
        <w:separator/>
      </w:r>
    </w:p>
  </w:footnote>
  <w:footnote w:type="continuationSeparator" w:id="0">
    <w:p w:rsidR="007A7D2D" w:rsidRDefault="007A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:rsidTr="00056DF0">
      <w:tc>
        <w:tcPr>
          <w:tcW w:w="3708" w:type="dxa"/>
          <w:shd w:val="clear" w:color="auto" w:fill="auto"/>
        </w:tcPr>
        <w:p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:rsidTr="00056DF0">
      <w:tc>
        <w:tcPr>
          <w:tcW w:w="3708" w:type="dxa"/>
          <w:shd w:val="clear" w:color="auto" w:fill="auto"/>
        </w:tcPr>
        <w:p w:rsidR="002E13CC" w:rsidRPr="00056DF0" w:rsidRDefault="00F5522E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</w:tc>
    </w:tr>
  </w:tbl>
  <w:p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100A7"/>
    <w:rsid w:val="00010F89"/>
    <w:rsid w:val="000129B2"/>
    <w:rsid w:val="00012F70"/>
    <w:rsid w:val="000133E4"/>
    <w:rsid w:val="00013DD7"/>
    <w:rsid w:val="00013E15"/>
    <w:rsid w:val="00014358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5161F"/>
    <w:rsid w:val="00051F1A"/>
    <w:rsid w:val="00052D13"/>
    <w:rsid w:val="0005347F"/>
    <w:rsid w:val="00054C38"/>
    <w:rsid w:val="00056DF0"/>
    <w:rsid w:val="000600B4"/>
    <w:rsid w:val="00060385"/>
    <w:rsid w:val="000613E6"/>
    <w:rsid w:val="0006156A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563"/>
    <w:rsid w:val="000A4A9C"/>
    <w:rsid w:val="000A600F"/>
    <w:rsid w:val="000A6209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32D"/>
    <w:rsid w:val="000C19A3"/>
    <w:rsid w:val="000C2B8C"/>
    <w:rsid w:val="000C334E"/>
    <w:rsid w:val="000C348F"/>
    <w:rsid w:val="000C471A"/>
    <w:rsid w:val="000C4A93"/>
    <w:rsid w:val="000C4D62"/>
    <w:rsid w:val="000C7882"/>
    <w:rsid w:val="000D26E3"/>
    <w:rsid w:val="000D33BF"/>
    <w:rsid w:val="000D477F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D9E"/>
    <w:rsid w:val="000E3FE6"/>
    <w:rsid w:val="000E504B"/>
    <w:rsid w:val="000E59C8"/>
    <w:rsid w:val="000E6582"/>
    <w:rsid w:val="000E71F8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5D14"/>
    <w:rsid w:val="000F5D67"/>
    <w:rsid w:val="000F65B8"/>
    <w:rsid w:val="001003D5"/>
    <w:rsid w:val="00100492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5044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702"/>
    <w:rsid w:val="001477D7"/>
    <w:rsid w:val="00147933"/>
    <w:rsid w:val="00147E2D"/>
    <w:rsid w:val="00151E52"/>
    <w:rsid w:val="001527DE"/>
    <w:rsid w:val="00152C89"/>
    <w:rsid w:val="00152DCF"/>
    <w:rsid w:val="0015334E"/>
    <w:rsid w:val="001535B2"/>
    <w:rsid w:val="00153603"/>
    <w:rsid w:val="00153DFE"/>
    <w:rsid w:val="00154402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E3C"/>
    <w:rsid w:val="00174F8E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1AD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454B"/>
    <w:rsid w:val="00244F0A"/>
    <w:rsid w:val="002460FD"/>
    <w:rsid w:val="00246600"/>
    <w:rsid w:val="00247523"/>
    <w:rsid w:val="00247B1B"/>
    <w:rsid w:val="0025095E"/>
    <w:rsid w:val="00251CAB"/>
    <w:rsid w:val="00251FF8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0748"/>
    <w:rsid w:val="00261211"/>
    <w:rsid w:val="0026264A"/>
    <w:rsid w:val="00262F97"/>
    <w:rsid w:val="00263951"/>
    <w:rsid w:val="0026417F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F41"/>
    <w:rsid w:val="00271B88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EB1"/>
    <w:rsid w:val="002A07A8"/>
    <w:rsid w:val="002A0DB4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449"/>
    <w:rsid w:val="002E2F4E"/>
    <w:rsid w:val="002E3032"/>
    <w:rsid w:val="002E5787"/>
    <w:rsid w:val="002E5A7D"/>
    <w:rsid w:val="002F0725"/>
    <w:rsid w:val="002F1939"/>
    <w:rsid w:val="002F2079"/>
    <w:rsid w:val="002F228C"/>
    <w:rsid w:val="002F2425"/>
    <w:rsid w:val="002F36C6"/>
    <w:rsid w:val="002F41AD"/>
    <w:rsid w:val="002F51EA"/>
    <w:rsid w:val="002F5957"/>
    <w:rsid w:val="002F59C1"/>
    <w:rsid w:val="002F5A34"/>
    <w:rsid w:val="002F619E"/>
    <w:rsid w:val="002F65E9"/>
    <w:rsid w:val="002F6AEA"/>
    <w:rsid w:val="002F7963"/>
    <w:rsid w:val="00300417"/>
    <w:rsid w:val="003007C5"/>
    <w:rsid w:val="00300BD4"/>
    <w:rsid w:val="003017D2"/>
    <w:rsid w:val="00301A5B"/>
    <w:rsid w:val="003040B7"/>
    <w:rsid w:val="0030423D"/>
    <w:rsid w:val="00304476"/>
    <w:rsid w:val="00304529"/>
    <w:rsid w:val="0030476D"/>
    <w:rsid w:val="0030547D"/>
    <w:rsid w:val="003055F0"/>
    <w:rsid w:val="0030575E"/>
    <w:rsid w:val="00305BC2"/>
    <w:rsid w:val="00306024"/>
    <w:rsid w:val="003064EB"/>
    <w:rsid w:val="003070AB"/>
    <w:rsid w:val="00307354"/>
    <w:rsid w:val="0030799C"/>
    <w:rsid w:val="00307C67"/>
    <w:rsid w:val="00310320"/>
    <w:rsid w:val="00311CC7"/>
    <w:rsid w:val="00313BB5"/>
    <w:rsid w:val="003141A5"/>
    <w:rsid w:val="003149C2"/>
    <w:rsid w:val="003150D6"/>
    <w:rsid w:val="0031546A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5E5D"/>
    <w:rsid w:val="003570DD"/>
    <w:rsid w:val="0035719A"/>
    <w:rsid w:val="003607E9"/>
    <w:rsid w:val="00361E7A"/>
    <w:rsid w:val="003628C9"/>
    <w:rsid w:val="003632D8"/>
    <w:rsid w:val="00363705"/>
    <w:rsid w:val="00365179"/>
    <w:rsid w:val="00365731"/>
    <w:rsid w:val="00365D1A"/>
    <w:rsid w:val="00366796"/>
    <w:rsid w:val="00367EE1"/>
    <w:rsid w:val="003721FB"/>
    <w:rsid w:val="00372A15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A0087"/>
    <w:rsid w:val="003A163D"/>
    <w:rsid w:val="003A1991"/>
    <w:rsid w:val="003A28B5"/>
    <w:rsid w:val="003A3457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C16"/>
    <w:rsid w:val="003E5844"/>
    <w:rsid w:val="003E5EA5"/>
    <w:rsid w:val="003E70CD"/>
    <w:rsid w:val="003F039C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153F"/>
    <w:rsid w:val="004D1DFE"/>
    <w:rsid w:val="004D1EC8"/>
    <w:rsid w:val="004D1FDA"/>
    <w:rsid w:val="004D2B1D"/>
    <w:rsid w:val="004D359A"/>
    <w:rsid w:val="004D49DA"/>
    <w:rsid w:val="004D4C77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6377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FE3"/>
    <w:rsid w:val="005513AD"/>
    <w:rsid w:val="00551853"/>
    <w:rsid w:val="0055260F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7331"/>
    <w:rsid w:val="00557842"/>
    <w:rsid w:val="00560192"/>
    <w:rsid w:val="00560566"/>
    <w:rsid w:val="00561FA1"/>
    <w:rsid w:val="00562997"/>
    <w:rsid w:val="00563C73"/>
    <w:rsid w:val="00565C68"/>
    <w:rsid w:val="00566267"/>
    <w:rsid w:val="00566BC1"/>
    <w:rsid w:val="00566D5A"/>
    <w:rsid w:val="00566DB6"/>
    <w:rsid w:val="00567C58"/>
    <w:rsid w:val="00570825"/>
    <w:rsid w:val="00571764"/>
    <w:rsid w:val="0057199D"/>
    <w:rsid w:val="00571F45"/>
    <w:rsid w:val="005727B2"/>
    <w:rsid w:val="005741F0"/>
    <w:rsid w:val="0057583F"/>
    <w:rsid w:val="0057625D"/>
    <w:rsid w:val="005775E6"/>
    <w:rsid w:val="00577E16"/>
    <w:rsid w:val="005804D3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50B"/>
    <w:rsid w:val="005958E2"/>
    <w:rsid w:val="00596BB2"/>
    <w:rsid w:val="00597DB6"/>
    <w:rsid w:val="005A003F"/>
    <w:rsid w:val="005A06B1"/>
    <w:rsid w:val="005A19AF"/>
    <w:rsid w:val="005A1D6E"/>
    <w:rsid w:val="005A2271"/>
    <w:rsid w:val="005A24BD"/>
    <w:rsid w:val="005A2E13"/>
    <w:rsid w:val="005A40CC"/>
    <w:rsid w:val="005A444F"/>
    <w:rsid w:val="005A5311"/>
    <w:rsid w:val="005A63EB"/>
    <w:rsid w:val="005A7020"/>
    <w:rsid w:val="005A704B"/>
    <w:rsid w:val="005A79D4"/>
    <w:rsid w:val="005A7EF6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F0D8B"/>
    <w:rsid w:val="005F18D4"/>
    <w:rsid w:val="005F2410"/>
    <w:rsid w:val="005F2C9D"/>
    <w:rsid w:val="005F377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2EF"/>
    <w:rsid w:val="006515EC"/>
    <w:rsid w:val="00651ECC"/>
    <w:rsid w:val="00651EF8"/>
    <w:rsid w:val="00652140"/>
    <w:rsid w:val="006525D4"/>
    <w:rsid w:val="00652ECE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5A68"/>
    <w:rsid w:val="006663CA"/>
    <w:rsid w:val="00666C8F"/>
    <w:rsid w:val="006678D4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E48"/>
    <w:rsid w:val="006B0750"/>
    <w:rsid w:val="006B094A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4"/>
    <w:rsid w:val="006C0ACF"/>
    <w:rsid w:val="006C1F45"/>
    <w:rsid w:val="006C29B2"/>
    <w:rsid w:val="006C4435"/>
    <w:rsid w:val="006C54BF"/>
    <w:rsid w:val="006C550E"/>
    <w:rsid w:val="006C5C90"/>
    <w:rsid w:val="006C5CB4"/>
    <w:rsid w:val="006C63F5"/>
    <w:rsid w:val="006C657F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01D3"/>
    <w:rsid w:val="006F296B"/>
    <w:rsid w:val="006F4323"/>
    <w:rsid w:val="006F4560"/>
    <w:rsid w:val="006F4B33"/>
    <w:rsid w:val="006F4E1C"/>
    <w:rsid w:val="006F587A"/>
    <w:rsid w:val="006F5BFD"/>
    <w:rsid w:val="006F5CAD"/>
    <w:rsid w:val="006F6289"/>
    <w:rsid w:val="006F676F"/>
    <w:rsid w:val="006F7E84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258B"/>
    <w:rsid w:val="00742B4F"/>
    <w:rsid w:val="007452A2"/>
    <w:rsid w:val="00745759"/>
    <w:rsid w:val="007458E0"/>
    <w:rsid w:val="00745D95"/>
    <w:rsid w:val="007467AB"/>
    <w:rsid w:val="0074722E"/>
    <w:rsid w:val="00750268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3E70"/>
    <w:rsid w:val="00773FF8"/>
    <w:rsid w:val="00775187"/>
    <w:rsid w:val="00775DDE"/>
    <w:rsid w:val="00776A59"/>
    <w:rsid w:val="00776EEF"/>
    <w:rsid w:val="00777121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A7D2D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955"/>
    <w:rsid w:val="007B7A39"/>
    <w:rsid w:val="007B7CD0"/>
    <w:rsid w:val="007C0AC8"/>
    <w:rsid w:val="007C1057"/>
    <w:rsid w:val="007C1160"/>
    <w:rsid w:val="007C122C"/>
    <w:rsid w:val="007C1DB8"/>
    <w:rsid w:val="007C2103"/>
    <w:rsid w:val="007C3749"/>
    <w:rsid w:val="007C410D"/>
    <w:rsid w:val="007C4CCD"/>
    <w:rsid w:val="007C4D54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B4C"/>
    <w:rsid w:val="007F0584"/>
    <w:rsid w:val="007F2B8C"/>
    <w:rsid w:val="007F34C2"/>
    <w:rsid w:val="007F552A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6B43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33BF"/>
    <w:rsid w:val="008A3D3C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3A7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6258"/>
    <w:rsid w:val="00906862"/>
    <w:rsid w:val="00910296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A4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C6"/>
    <w:rsid w:val="00970532"/>
    <w:rsid w:val="00970639"/>
    <w:rsid w:val="0097253C"/>
    <w:rsid w:val="009726D9"/>
    <w:rsid w:val="009729B8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528E"/>
    <w:rsid w:val="009857ED"/>
    <w:rsid w:val="00985C2A"/>
    <w:rsid w:val="00986200"/>
    <w:rsid w:val="00986859"/>
    <w:rsid w:val="00986B28"/>
    <w:rsid w:val="00986C47"/>
    <w:rsid w:val="00986E9D"/>
    <w:rsid w:val="00991E92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8D"/>
    <w:rsid w:val="00995A68"/>
    <w:rsid w:val="0099650F"/>
    <w:rsid w:val="00996D84"/>
    <w:rsid w:val="00997897"/>
    <w:rsid w:val="009A0597"/>
    <w:rsid w:val="009A0723"/>
    <w:rsid w:val="009A09FF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419"/>
    <w:rsid w:val="009B4A63"/>
    <w:rsid w:val="009B5845"/>
    <w:rsid w:val="009B5E4D"/>
    <w:rsid w:val="009B6F3D"/>
    <w:rsid w:val="009B70F6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5746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FD5"/>
    <w:rsid w:val="00A056C5"/>
    <w:rsid w:val="00A06B1F"/>
    <w:rsid w:val="00A06B21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40CA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9E3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281E"/>
    <w:rsid w:val="00AC3652"/>
    <w:rsid w:val="00AC3B46"/>
    <w:rsid w:val="00AC402A"/>
    <w:rsid w:val="00AC4208"/>
    <w:rsid w:val="00AC43A0"/>
    <w:rsid w:val="00AC47C2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6733"/>
    <w:rsid w:val="00AE77B2"/>
    <w:rsid w:val="00AE7865"/>
    <w:rsid w:val="00AE7DF1"/>
    <w:rsid w:val="00AF0EE5"/>
    <w:rsid w:val="00AF13DB"/>
    <w:rsid w:val="00AF1502"/>
    <w:rsid w:val="00AF1CE9"/>
    <w:rsid w:val="00AF208B"/>
    <w:rsid w:val="00AF30D8"/>
    <w:rsid w:val="00AF3C65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30991"/>
    <w:rsid w:val="00B3170D"/>
    <w:rsid w:val="00B32699"/>
    <w:rsid w:val="00B3302A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5DB8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40A7"/>
    <w:rsid w:val="00B94307"/>
    <w:rsid w:val="00B945C8"/>
    <w:rsid w:val="00B94B5C"/>
    <w:rsid w:val="00B94D30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3D4C"/>
    <w:rsid w:val="00BE3E20"/>
    <w:rsid w:val="00BE3FBD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AD"/>
    <w:rsid w:val="00C11696"/>
    <w:rsid w:val="00C11737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3008"/>
    <w:rsid w:val="00C33927"/>
    <w:rsid w:val="00C34075"/>
    <w:rsid w:val="00C34741"/>
    <w:rsid w:val="00C34C1F"/>
    <w:rsid w:val="00C35270"/>
    <w:rsid w:val="00C36598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57F23"/>
    <w:rsid w:val="00C60273"/>
    <w:rsid w:val="00C603CE"/>
    <w:rsid w:val="00C60613"/>
    <w:rsid w:val="00C63326"/>
    <w:rsid w:val="00C634AC"/>
    <w:rsid w:val="00C635E9"/>
    <w:rsid w:val="00C63E62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7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F68"/>
    <w:rsid w:val="00C92F76"/>
    <w:rsid w:val="00C9419A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27D9"/>
    <w:rsid w:val="00CB3414"/>
    <w:rsid w:val="00CB3A01"/>
    <w:rsid w:val="00CB3A2A"/>
    <w:rsid w:val="00CB3C2F"/>
    <w:rsid w:val="00CB56D5"/>
    <w:rsid w:val="00CB58C1"/>
    <w:rsid w:val="00CB5A51"/>
    <w:rsid w:val="00CB60B9"/>
    <w:rsid w:val="00CB659B"/>
    <w:rsid w:val="00CB6713"/>
    <w:rsid w:val="00CB7147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481A"/>
    <w:rsid w:val="00CD6130"/>
    <w:rsid w:val="00CD6430"/>
    <w:rsid w:val="00CD6EA9"/>
    <w:rsid w:val="00CD7B12"/>
    <w:rsid w:val="00CE0D83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1285"/>
    <w:rsid w:val="00D3138A"/>
    <w:rsid w:val="00D31EB8"/>
    <w:rsid w:val="00D332E0"/>
    <w:rsid w:val="00D339DC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6077C"/>
    <w:rsid w:val="00D64171"/>
    <w:rsid w:val="00D64749"/>
    <w:rsid w:val="00D64E34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D63"/>
    <w:rsid w:val="00D73029"/>
    <w:rsid w:val="00D730D1"/>
    <w:rsid w:val="00D7328D"/>
    <w:rsid w:val="00D74118"/>
    <w:rsid w:val="00D74AD6"/>
    <w:rsid w:val="00D7522B"/>
    <w:rsid w:val="00D76CBA"/>
    <w:rsid w:val="00D77FBF"/>
    <w:rsid w:val="00D800C5"/>
    <w:rsid w:val="00D809BA"/>
    <w:rsid w:val="00D80A3F"/>
    <w:rsid w:val="00D81D04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BDC"/>
    <w:rsid w:val="00D9427F"/>
    <w:rsid w:val="00D94F4E"/>
    <w:rsid w:val="00D94FD4"/>
    <w:rsid w:val="00D957F8"/>
    <w:rsid w:val="00D9713C"/>
    <w:rsid w:val="00DA1391"/>
    <w:rsid w:val="00DA3E57"/>
    <w:rsid w:val="00DA45F4"/>
    <w:rsid w:val="00DA520C"/>
    <w:rsid w:val="00DA5934"/>
    <w:rsid w:val="00DA62A6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2E77"/>
    <w:rsid w:val="00DE3869"/>
    <w:rsid w:val="00DE3A13"/>
    <w:rsid w:val="00DE3D28"/>
    <w:rsid w:val="00DE44B6"/>
    <w:rsid w:val="00DE4755"/>
    <w:rsid w:val="00DE5E6A"/>
    <w:rsid w:val="00DE6481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2C28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45E"/>
    <w:rsid w:val="00E167A9"/>
    <w:rsid w:val="00E1690F"/>
    <w:rsid w:val="00E16D44"/>
    <w:rsid w:val="00E217DA"/>
    <w:rsid w:val="00E225A5"/>
    <w:rsid w:val="00E23EFA"/>
    <w:rsid w:val="00E254CA"/>
    <w:rsid w:val="00E26CC9"/>
    <w:rsid w:val="00E26FB0"/>
    <w:rsid w:val="00E30024"/>
    <w:rsid w:val="00E31758"/>
    <w:rsid w:val="00E31D24"/>
    <w:rsid w:val="00E32693"/>
    <w:rsid w:val="00E328C0"/>
    <w:rsid w:val="00E32C17"/>
    <w:rsid w:val="00E33317"/>
    <w:rsid w:val="00E34E35"/>
    <w:rsid w:val="00E357D0"/>
    <w:rsid w:val="00E36137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B42"/>
    <w:rsid w:val="00E63B64"/>
    <w:rsid w:val="00E66A40"/>
    <w:rsid w:val="00E713E6"/>
    <w:rsid w:val="00E71715"/>
    <w:rsid w:val="00E7249C"/>
    <w:rsid w:val="00E72CD6"/>
    <w:rsid w:val="00E72EAD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B6C"/>
    <w:rsid w:val="00EB3FE1"/>
    <w:rsid w:val="00EB4632"/>
    <w:rsid w:val="00EB46B8"/>
    <w:rsid w:val="00EB5001"/>
    <w:rsid w:val="00EB5078"/>
    <w:rsid w:val="00EB659A"/>
    <w:rsid w:val="00EB7496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3CF"/>
    <w:rsid w:val="00ED64F2"/>
    <w:rsid w:val="00ED65EF"/>
    <w:rsid w:val="00ED742D"/>
    <w:rsid w:val="00ED77AD"/>
    <w:rsid w:val="00EE0F1E"/>
    <w:rsid w:val="00EE13C9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F1FB6"/>
    <w:rsid w:val="00EF32AD"/>
    <w:rsid w:val="00EF33DE"/>
    <w:rsid w:val="00EF3CBD"/>
    <w:rsid w:val="00EF4EFC"/>
    <w:rsid w:val="00EF534A"/>
    <w:rsid w:val="00EF56FC"/>
    <w:rsid w:val="00EF63AE"/>
    <w:rsid w:val="00EF731F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7B1"/>
    <w:rsid w:val="00F2372E"/>
    <w:rsid w:val="00F23B8D"/>
    <w:rsid w:val="00F23BCF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7E6"/>
    <w:rsid w:val="00F469D6"/>
    <w:rsid w:val="00F46E69"/>
    <w:rsid w:val="00F475B6"/>
    <w:rsid w:val="00F4796A"/>
    <w:rsid w:val="00F47F43"/>
    <w:rsid w:val="00F502FE"/>
    <w:rsid w:val="00F50A76"/>
    <w:rsid w:val="00F5177F"/>
    <w:rsid w:val="00F53C65"/>
    <w:rsid w:val="00F53D78"/>
    <w:rsid w:val="00F5522E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1128"/>
    <w:rsid w:val="00F82792"/>
    <w:rsid w:val="00F83537"/>
    <w:rsid w:val="00F847A4"/>
    <w:rsid w:val="00F84D2D"/>
    <w:rsid w:val="00F84E09"/>
    <w:rsid w:val="00F84E25"/>
    <w:rsid w:val="00F84F8F"/>
    <w:rsid w:val="00F85B98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E7CE6"/>
    <w:rsid w:val="00FF05A6"/>
    <w:rsid w:val="00FF09CE"/>
    <w:rsid w:val="00FF3000"/>
    <w:rsid w:val="00FF4582"/>
    <w:rsid w:val="00FF4A49"/>
    <w:rsid w:val="00FF4BC6"/>
    <w:rsid w:val="00FF502A"/>
    <w:rsid w:val="00FF5515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1AF85-B920-4897-92B1-D32A63B6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3A2E-9AC2-40BA-96E8-B65601C7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Bojan Grgic</cp:lastModifiedBy>
  <cp:revision>2</cp:revision>
  <cp:lastPrinted>2018-03-28T14:44:00Z</cp:lastPrinted>
  <dcterms:created xsi:type="dcterms:W3CDTF">2020-07-16T11:09:00Z</dcterms:created>
  <dcterms:modified xsi:type="dcterms:W3CDTF">2020-07-16T11:09:00Z</dcterms:modified>
</cp:coreProperties>
</file>