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977DA2" w:rsidRDefault="00977DA2" w:rsidP="00977DA2">
      <w:pPr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7DA2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На страни 19. наведено је:</w:t>
      </w:r>
    </w:p>
    <w:p w:rsidR="00000000" w:rsidRPr="00977DA2" w:rsidRDefault="00977DA2" w:rsidP="00977DA2">
      <w:pPr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Записници 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о увођењу у посао 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нису јавно 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доступни, 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док су 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грађевински дневници делимично јавно доступни 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(тачка 10.12, извор 1 и тачка преостала документација део 3, извор 3). Наиме, јавно доступни су само грађевински дневници које је водио кинески конзорцијум 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CRIC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>-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CCCC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, као главни извођач и грађевински дневници које је 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за групу архитектонско-грађевинских радова водио подизвођач којег је ангажовао 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CCECC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. 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Грађевински дневници осталих подизвођача 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који су били ангажовани на извођењу радова на станичној згради, 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>нису јавно доступни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>. По јавно доступним подацима, поменути подизвођач је своје грађевинске дневнике почео да води од 10.11.2021.г., док је конзорцијум кине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ских фирми са радовима почео 13.12.2021. 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Није јавно доступан 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>основ за увођење поменутог подизвођача у посао пре п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очетка радова главног извођача, осим споразума између 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CCECC</w:t>
      </w:r>
      <w:r w:rsidRPr="00977DA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 и тог подизвођача, који је потписан 10.11.2021.г.</w:t>
      </w:r>
    </w:p>
    <w:p w:rsidR="002E0346" w:rsidRPr="00977DA2" w:rsidRDefault="002E0346" w:rsidP="00977DA2">
      <w:pPr>
        <w:rPr>
          <w:rFonts w:ascii="Times New Roman" w:hAnsi="Times New Roman" w:cs="Times New Roman"/>
          <w:sz w:val="24"/>
          <w:szCs w:val="24"/>
        </w:rPr>
      </w:pPr>
    </w:p>
    <w:p w:rsidR="00977DA2" w:rsidRPr="00977DA2" w:rsidRDefault="00977DA2" w:rsidP="00977DA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0000" w:rsidRPr="00977DA2" w:rsidRDefault="00977DA2" w:rsidP="00977DA2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77DA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Одговор:</w:t>
      </w:r>
    </w:p>
    <w:p w:rsidR="00000000" w:rsidRPr="00977DA2" w:rsidRDefault="00977DA2" w:rsidP="00977DA2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77DA2">
        <w:rPr>
          <w:rFonts w:ascii="Times New Roman" w:hAnsi="Times New Roman" w:cs="Times New Roman"/>
          <w:sz w:val="24"/>
          <w:szCs w:val="24"/>
          <w:lang w:val="sr-Cyrl-RS"/>
        </w:rPr>
        <w:t>Одговор на ово питање садржан је у одговору на конкретизацију захтева 27. јануара под тачком 15. :</w:t>
      </w:r>
    </w:p>
    <w:p w:rsidR="00977DA2" w:rsidRPr="00977DA2" w:rsidRDefault="00977DA2" w:rsidP="00977DA2">
      <w:pPr>
        <w:rPr>
          <w:rFonts w:ascii="Times New Roman" w:hAnsi="Times New Roman" w:cs="Times New Roman"/>
          <w:sz w:val="24"/>
          <w:szCs w:val="24"/>
        </w:rPr>
      </w:pPr>
      <w:r w:rsidRPr="00977DA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„(Захтеван је ЗАПИСНИК О УВОЂЕЊУ ИЗВОЂАЧА У ПОСАО (ГФ градилишна документација) Испуњено – </w:t>
      </w:r>
      <w:r w:rsidRPr="00977DA2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Приложено обавевештење стручног надзора о почетку радова)“</w:t>
      </w:r>
    </w:p>
    <w:p w:rsidR="00977DA2" w:rsidRPr="00977DA2" w:rsidRDefault="00977DA2" w:rsidP="00977DA2"/>
    <w:sectPr w:rsidR="00977DA2" w:rsidRPr="00977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A6953"/>
    <w:multiLevelType w:val="hybridMultilevel"/>
    <w:tmpl w:val="E788FFEC"/>
    <w:lvl w:ilvl="0" w:tplc="94EEEE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7869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DC1C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0AF4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869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E0F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5472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FC53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188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5802FE4"/>
    <w:multiLevelType w:val="hybridMultilevel"/>
    <w:tmpl w:val="DFDA3D6A"/>
    <w:lvl w:ilvl="0" w:tplc="7A0CA4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4066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CC1E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303F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768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A2C6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00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704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7001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BD819C0"/>
    <w:multiLevelType w:val="hybridMultilevel"/>
    <w:tmpl w:val="276E2D76"/>
    <w:lvl w:ilvl="0" w:tplc="51B05F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E2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CA37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463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969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E4A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94C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4804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1B62DF4"/>
    <w:multiLevelType w:val="hybridMultilevel"/>
    <w:tmpl w:val="2FEE11DE"/>
    <w:lvl w:ilvl="0" w:tplc="BA8E8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9076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2AA7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CEC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A7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A6C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4213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242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CBE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03E6E9D"/>
    <w:multiLevelType w:val="hybridMultilevel"/>
    <w:tmpl w:val="A45265D6"/>
    <w:lvl w:ilvl="0" w:tplc="3DAEC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D433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22E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E22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5643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A438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1A0C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02C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F20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2211C44"/>
    <w:multiLevelType w:val="hybridMultilevel"/>
    <w:tmpl w:val="0E3ED014"/>
    <w:lvl w:ilvl="0" w:tplc="38CEB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24EC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4AE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68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96B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061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50A4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56C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88CE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7A"/>
    <w:rsid w:val="0024407A"/>
    <w:rsid w:val="002E0346"/>
    <w:rsid w:val="005720B5"/>
    <w:rsid w:val="007E46DC"/>
    <w:rsid w:val="00977DA2"/>
    <w:rsid w:val="00A1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C8A04"/>
  <w15:chartTrackingRefBased/>
  <w15:docId w15:val="{492110DE-3FD9-4D7B-803A-A0A73A25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5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21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468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85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492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54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572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57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3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3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39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49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569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Petrović</dc:creator>
  <cp:keywords/>
  <dc:description/>
  <cp:lastModifiedBy>Milan Petrović</cp:lastModifiedBy>
  <cp:revision>3</cp:revision>
  <dcterms:created xsi:type="dcterms:W3CDTF">2025-03-06T13:04:00Z</dcterms:created>
  <dcterms:modified xsi:type="dcterms:W3CDTF">2025-03-06T13:12:00Z</dcterms:modified>
</cp:coreProperties>
</file>